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PITANJA NA KOJA VLADA CRNE GORE, MUP I SKUPŠTINA TREBA DA ODGOVORE</w:t>
      </w:r>
    </w:p>
    <w:p>
      <w:r>
        <w:t>Pravni upit u interesu javnosti i dijaspore</w:t>
        <w:br/>
      </w:r>
    </w:p>
    <w:p>
      <w:r>
        <w:t>Autor: Ismet Rastoder</w:t>
        <w:br/>
        <w:t>Diplomirani pravnik</w:t>
        <w:br/>
        <w:t>Radio New York</w:t>
      </w:r>
    </w:p>
    <w:p>
      <w:pPr>
        <w:pStyle w:val="Heading2"/>
      </w:pPr>
      <w:r>
        <w:t>UVOD</w:t>
      </w:r>
    </w:p>
    <w:p>
      <w:r>
        <w:t>Pitanje registracije prebivališta i boravišta nije samo administrativno pitanje. Radi se o zakonu koji može imati direktan uticaj na veliki broj državljana Crne Gore koji žive u inostranstvu. Građani imaju pravo da prije donošenja izmjena dobiju jasne i potpune odgovore. Tražimo činjenice, pravna objašnjenja i transparentnost.</w:t>
      </w:r>
    </w:p>
    <w:p>
      <w:pPr>
        <w:pStyle w:val="Heading2"/>
      </w:pPr>
      <w:r>
        <w:t>PITANJE 1</w:t>
      </w:r>
    </w:p>
    <w:p>
      <w:r>
        <w:t>Koliko državljana Crne Gore trenutno ima prijavljen boravak u inostranstvu u skladu sa važećim zakonom?</w:t>
      </w:r>
    </w:p>
    <w:p>
      <w:pPr>
        <w:pStyle w:val="Heading2"/>
      </w:pPr>
      <w:r>
        <w:t>PITANJE 2</w:t>
      </w:r>
    </w:p>
    <w:p>
      <w:r>
        <w:t>Koliko državljana nije izvršilo prijavu boravka u inostranstvu u posljednjih deset godina?</w:t>
      </w:r>
    </w:p>
    <w:p>
      <w:pPr>
        <w:pStyle w:val="Heading2"/>
      </w:pPr>
      <w:r>
        <w:t>PITANJE 3</w:t>
      </w:r>
    </w:p>
    <w:p>
      <w:r>
        <w:t>Koliko je prekršajnih postupaka pokrenuto zbog neprijavljivanja odlaska iz Crne Gore?</w:t>
      </w:r>
    </w:p>
    <w:p>
      <w:pPr>
        <w:pStyle w:val="Heading2"/>
      </w:pPr>
      <w:r>
        <w:t>PITANJE 4</w:t>
      </w:r>
    </w:p>
    <w:p>
      <w:r>
        <w:t>Koliko je građana kažnjeno po članu 36 važećeg zakona?</w:t>
      </w:r>
    </w:p>
    <w:p>
      <w:pPr>
        <w:pStyle w:val="Heading2"/>
      </w:pPr>
      <w:r>
        <w:t>PITANJE 5</w:t>
      </w:r>
    </w:p>
    <w:p>
      <w:r>
        <w:t>Koliko je rješenja o odjavi prebivališta donijeto po službenoj dužnosti u posljednjih deset godina?</w:t>
      </w:r>
    </w:p>
    <w:p>
      <w:pPr>
        <w:pStyle w:val="Heading2"/>
      </w:pPr>
      <w:r>
        <w:t>PITANJE 6</w:t>
      </w:r>
    </w:p>
    <w:p>
      <w:r>
        <w:t>Na osnovu kojih kriterijuma Ministarstvo utvrđuje da je neko trajno iseljen?</w:t>
      </w:r>
    </w:p>
    <w:p>
      <w:pPr>
        <w:pStyle w:val="Heading2"/>
      </w:pPr>
      <w:r>
        <w:t>PITANJE 7</w:t>
      </w:r>
    </w:p>
    <w:p>
      <w:r>
        <w:t>Kako Ministarstvo definiše pojam 'centar životnih aktivnosti'?</w:t>
      </w:r>
    </w:p>
    <w:p>
      <w:pPr>
        <w:pStyle w:val="Heading2"/>
      </w:pPr>
      <w:r>
        <w:t>PITANJE 8</w:t>
      </w:r>
    </w:p>
    <w:p>
      <w:r>
        <w:t>Da li samo dugotrajni boravak u inostranstvu predstavlja dokaz trajnog iseljenja?</w:t>
      </w:r>
    </w:p>
    <w:p>
      <w:pPr>
        <w:pStyle w:val="Heading2"/>
      </w:pPr>
      <w:r>
        <w:t>PITANJE 9</w:t>
      </w:r>
    </w:p>
    <w:p>
      <w:r>
        <w:t>Da li će buduće izmjene zakona imati uticaj na birački spisak?</w:t>
      </w:r>
    </w:p>
    <w:p>
      <w:pPr>
        <w:pStyle w:val="Heading2"/>
      </w:pPr>
      <w:r>
        <w:t>PITANJE 10</w:t>
      </w:r>
    </w:p>
    <w:p>
      <w:r>
        <w:t>Da li je izrađena procjena uticaja izmjena zakona na dijasporu?</w:t>
      </w:r>
    </w:p>
    <w:p>
      <w:pPr>
        <w:pStyle w:val="Heading2"/>
      </w:pPr>
      <w:r>
        <w:t>PITANJE 11</w:t>
      </w:r>
    </w:p>
    <w:p>
      <w:r>
        <w:t>Da li je izrađena procjena finansijskih posljedica primjene zakona?</w:t>
      </w:r>
    </w:p>
    <w:p>
      <w:pPr>
        <w:pStyle w:val="Heading2"/>
      </w:pPr>
      <w:r>
        <w:t>PITANJE 12</w:t>
      </w:r>
    </w:p>
    <w:p>
      <w:r>
        <w:t>Ko je bio član radne grupe koja je pripremala nacrt zakona?</w:t>
      </w:r>
    </w:p>
    <w:p>
      <w:pPr>
        <w:pStyle w:val="Heading2"/>
      </w:pPr>
      <w:r>
        <w:t>PITANJE 13</w:t>
      </w:r>
    </w:p>
    <w:p>
      <w:r>
        <w:t>Da li su predstavnici dijaspore učestvovali u izradi nacrta?</w:t>
      </w:r>
    </w:p>
    <w:p>
      <w:pPr>
        <w:pStyle w:val="Heading2"/>
      </w:pPr>
      <w:r>
        <w:t>PITANJE 14</w:t>
      </w:r>
    </w:p>
    <w:p>
      <w:r>
        <w:t>Zašto nije organizovana posebna javna rasprava sa dijasporom?</w:t>
      </w:r>
    </w:p>
    <w:p>
      <w:pPr>
        <w:pStyle w:val="Heading2"/>
      </w:pPr>
      <w:r>
        <w:t>PITANJE 15</w:t>
      </w:r>
    </w:p>
    <w:p>
      <w:r>
        <w:t>Koliko je primjedbi dostavljeno tokom javne rasprave?</w:t>
      </w:r>
    </w:p>
    <w:p>
      <w:pPr>
        <w:pStyle w:val="Heading2"/>
      </w:pPr>
      <w:r>
        <w:t>PITANJE 16</w:t>
      </w:r>
    </w:p>
    <w:p>
      <w:r>
        <w:t>Koliko je primjedbi prihvaćeno?</w:t>
      </w:r>
    </w:p>
    <w:p>
      <w:pPr>
        <w:pStyle w:val="Heading2"/>
      </w:pPr>
      <w:r>
        <w:t>PITANJE 17</w:t>
      </w:r>
    </w:p>
    <w:p>
      <w:r>
        <w:t>Koje su primjedbe odbijene i zbog čega?</w:t>
      </w:r>
    </w:p>
    <w:p>
      <w:pPr>
        <w:pStyle w:val="Heading2"/>
      </w:pPr>
      <w:r>
        <w:t>PITANJE 18</w:t>
      </w:r>
    </w:p>
    <w:p>
      <w:r>
        <w:t>Da li će građanin prije eventualne odjave imati pravo da bude saslušan, dostavi dokaze i izjavi žalbu?</w:t>
      </w:r>
    </w:p>
    <w:p>
      <w:pPr>
        <w:pStyle w:val="Heading2"/>
      </w:pPr>
      <w:r>
        <w:t>PITANJE 19</w:t>
      </w:r>
    </w:p>
    <w:p>
      <w:r>
        <w:t>Da li žalba odlaže izvršenje rješenja?</w:t>
      </w:r>
    </w:p>
    <w:p>
      <w:pPr>
        <w:pStyle w:val="Heading2"/>
      </w:pPr>
      <w:r>
        <w:t>PITANJE 20</w:t>
      </w:r>
    </w:p>
    <w:p>
      <w:r>
        <w:t>Na osnovu kojih dokaza policijski službenik može zaključiti da neko više nema prebivalište?</w:t>
      </w:r>
    </w:p>
    <w:p>
      <w:pPr>
        <w:pStyle w:val="Heading2"/>
      </w:pPr>
      <w:r>
        <w:t>PITANJE 21</w:t>
      </w:r>
    </w:p>
    <w:p>
      <w:r>
        <w:t>Koliko će puta biti izvršena terenska provjera prije donošenja rješenja?</w:t>
      </w:r>
    </w:p>
    <w:p>
      <w:pPr>
        <w:pStyle w:val="Heading2"/>
      </w:pPr>
      <w:r>
        <w:t>PITANJE 22</w:t>
      </w:r>
    </w:p>
    <w:p>
      <w:r>
        <w:t>Da li će se izjave komšija koristiti kao dokaz i kolika će biti njihova dokazna snaga?</w:t>
      </w:r>
    </w:p>
    <w:p>
      <w:pPr>
        <w:pStyle w:val="Heading2"/>
      </w:pPr>
      <w:r>
        <w:t>PITANJE 23</w:t>
      </w:r>
    </w:p>
    <w:p>
      <w:r>
        <w:t>Da li će građanin moći elektronskim putem prijaviti odlazak i povratak?</w:t>
      </w:r>
    </w:p>
    <w:p>
      <w:pPr>
        <w:pStyle w:val="Heading2"/>
      </w:pPr>
      <w:r>
        <w:t>PITANJE 24</w:t>
      </w:r>
    </w:p>
    <w:p>
      <w:r>
        <w:t>Da li će sva diplomatsko-konzularna predstavništva imati jedinstvenu proceduru?</w:t>
      </w:r>
    </w:p>
    <w:p>
      <w:pPr>
        <w:pStyle w:val="Heading2"/>
      </w:pPr>
      <w:r>
        <w:t>PITANJE 25</w:t>
      </w:r>
    </w:p>
    <w:p>
      <w:r>
        <w:t>Da li će se izdavati elektronska potvrda o prijavi?</w:t>
      </w:r>
    </w:p>
    <w:p>
      <w:pPr>
        <w:pStyle w:val="Heading2"/>
      </w:pPr>
      <w:r>
        <w:t>PITANJE 26</w:t>
      </w:r>
    </w:p>
    <w:p>
      <w:r>
        <w:t>Da li će građani imati uvid u svoje podatke putem elektronskog portala?</w:t>
      </w:r>
    </w:p>
    <w:p>
      <w:pPr>
        <w:pStyle w:val="Heading2"/>
      </w:pPr>
      <w:r>
        <w:t>PITANJE 27</w:t>
      </w:r>
    </w:p>
    <w:p>
      <w:r>
        <w:t>Ko će vršiti kontrolu zakonitosti rada službenika?</w:t>
      </w:r>
    </w:p>
    <w:p>
      <w:pPr>
        <w:pStyle w:val="Heading2"/>
      </w:pPr>
      <w:r>
        <w:t>PITANJE 28</w:t>
      </w:r>
    </w:p>
    <w:p>
      <w:r>
        <w:t>Da li će Ministarstvo objavljivati godišnji izvještaj o primjeni zakona?</w:t>
      </w:r>
    </w:p>
    <w:p>
      <w:pPr>
        <w:pStyle w:val="Heading2"/>
      </w:pPr>
      <w:r>
        <w:t>PITANJE 29</w:t>
      </w:r>
    </w:p>
    <w:p>
      <w:r>
        <w:t>Da li će se zakon primjenjivati jednako na sve državljane bez obzira gdje žive?</w:t>
      </w:r>
    </w:p>
    <w:p>
      <w:pPr>
        <w:pStyle w:val="Heading2"/>
      </w:pPr>
      <w:r>
        <w:t>PITANJE 30</w:t>
      </w:r>
    </w:p>
    <w:p>
      <w:r>
        <w:t>Da li je Ministarstvo spremno da organizuje posebnu javnu raspravu sa dijasporom prije usvajanja zakona?</w:t>
      </w:r>
    </w:p>
    <w:p>
      <w:pPr>
        <w:pStyle w:val="Heading2"/>
      </w:pPr>
      <w:r>
        <w:t>ZAKLJUČAK</w:t>
      </w:r>
    </w:p>
    <w:p>
      <w:r>
        <w:t>Ovih trideset pitanja predstavljaju zahtjev za transparentnost i kvalitetniji zakon. Dijaspora ne traži privilegije, već jasna pravila, pravnu sigurnost i pravo da bude uključena u raspravu.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