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30 PRIJEDLOGA DIJASPORE ZA IZMJENE I DOPUNE ZAKONA O REGISTRIMA PREBIVALIŠTA I BORAVIŠTA CRNE GORE</w:t>
      </w:r>
    </w:p>
    <w:p>
      <w:r>
        <w:rPr>
          <w:b/>
        </w:rPr>
        <w:t>Radna verzija</w:t>
        <w:br/>
      </w:r>
      <w:r>
        <w:t>Autor: Ismet Rastoder</w:t>
        <w:br/>
        <w:t>Diplomirani pravnik</w:t>
        <w:br/>
        <w:t>Radio New York</w:t>
        <w:br/>
      </w:r>
    </w:p>
    <w:p>
      <w:pPr>
        <w:pStyle w:val="Heading2"/>
      </w:pPr>
      <w:r>
        <w:t>UVOD</w:t>
      </w:r>
    </w:p>
    <w:p>
      <w:r>
        <w:t>Dijaspora ne osporava pravo države da vodi tačne registre prebivališta i boravišta. Naprotiv, uređeni registri predstavljaju jedan od temelja pravne države. Ovi prijedlozi predstavljaju doprinos dijaspore unapređenju zakona. Njihov cilj nije politička rasprava već kvalitetniji zakon.</w:t>
      </w:r>
    </w:p>
    <w:p>
      <w:pPr>
        <w:pStyle w:val="Heading2"/>
      </w:pPr>
      <w:r>
        <w:t>PRIJEDLOG 1</w:t>
      </w:r>
    </w:p>
    <w:p>
      <w:r>
        <w:t>Zakonom jasno propisati da dugotrajni boravak u drugoj državi sam po sebi nije dokaz trajnog iseljenja.</w:t>
      </w:r>
    </w:p>
    <w:p>
      <w:pPr>
        <w:pStyle w:val="Heading2"/>
      </w:pPr>
      <w:r>
        <w:t>PRIJEDLOG 2</w:t>
      </w:r>
    </w:p>
    <w:p>
      <w:r>
        <w:t>Precizno definisati pojam 'centar životnih aktivnosti'.</w:t>
      </w:r>
    </w:p>
    <w:p>
      <w:pPr>
        <w:pStyle w:val="Heading2"/>
      </w:pPr>
      <w:r>
        <w:t>PRIJEDLOG 3</w:t>
      </w:r>
    </w:p>
    <w:p>
      <w:r>
        <w:t>Zakonom zabraniti automatsku odjavu prebivališta.</w:t>
      </w:r>
    </w:p>
    <w:p>
      <w:pPr>
        <w:pStyle w:val="Heading2"/>
      </w:pPr>
      <w:r>
        <w:t>PRIJEDLOG 4</w:t>
      </w:r>
    </w:p>
    <w:p>
      <w:r>
        <w:t>Prije svake odjave obavezno sprovesti upravni postupak.</w:t>
      </w:r>
    </w:p>
    <w:p>
      <w:pPr>
        <w:pStyle w:val="Heading2"/>
      </w:pPr>
      <w:r>
        <w:t>PRIJEDLOG 5</w:t>
      </w:r>
    </w:p>
    <w:p>
      <w:r>
        <w:t>Obavezno omogućiti građaninu da se izjasni prije donošenja odluke.</w:t>
      </w:r>
    </w:p>
    <w:p>
      <w:pPr>
        <w:pStyle w:val="Heading2"/>
      </w:pPr>
      <w:r>
        <w:t>PRIJEDLOG 6</w:t>
      </w:r>
    </w:p>
    <w:p>
      <w:r>
        <w:t>Žalba mora odlagati izvršenje odluke.</w:t>
      </w:r>
    </w:p>
    <w:p>
      <w:pPr>
        <w:pStyle w:val="Heading2"/>
      </w:pPr>
      <w:r>
        <w:t>PRIJEDLOG 7</w:t>
      </w:r>
    </w:p>
    <w:p>
      <w:r>
        <w:t>Policijski zapisnik ne može biti jedini dokaz.</w:t>
      </w:r>
    </w:p>
    <w:p>
      <w:pPr>
        <w:pStyle w:val="Heading2"/>
      </w:pPr>
      <w:r>
        <w:t>PRIJEDLOG 8</w:t>
      </w:r>
    </w:p>
    <w:p>
      <w:r>
        <w:t>Jedna terenska kontrola nije dovoljna.</w:t>
      </w:r>
    </w:p>
    <w:p>
      <w:pPr>
        <w:pStyle w:val="Heading2"/>
      </w:pPr>
      <w:r>
        <w:t>PRIJEDLOG 9</w:t>
      </w:r>
    </w:p>
    <w:p>
      <w:r>
        <w:t>Građanin mora biti uredno obaviješten.</w:t>
      </w:r>
    </w:p>
    <w:p>
      <w:pPr>
        <w:pStyle w:val="Heading2"/>
      </w:pPr>
      <w:r>
        <w:t>PRIJEDLOG 10</w:t>
      </w:r>
    </w:p>
    <w:p>
      <w:r>
        <w:t>Sve prijave omogućiti elektronskim putem.</w:t>
      </w:r>
    </w:p>
    <w:p>
      <w:pPr>
        <w:pStyle w:val="Heading2"/>
      </w:pPr>
      <w:r>
        <w:t>PRIJEDLOG 11</w:t>
      </w:r>
    </w:p>
    <w:p>
      <w:r>
        <w:t>Omogućiti elektronsko podnošenje žalbi.</w:t>
      </w:r>
    </w:p>
    <w:p>
      <w:pPr>
        <w:pStyle w:val="Heading2"/>
      </w:pPr>
      <w:r>
        <w:t>PRIJEDLOG 12</w:t>
      </w:r>
    </w:p>
    <w:p>
      <w:r>
        <w:t>Elektronsko izdavanje potvrda.</w:t>
      </w:r>
    </w:p>
    <w:p>
      <w:pPr>
        <w:pStyle w:val="Heading2"/>
      </w:pPr>
      <w:r>
        <w:t>PRIJEDLOG 13</w:t>
      </w:r>
    </w:p>
    <w:p>
      <w:r>
        <w:t>Digitalni portal za dijasporu.</w:t>
      </w:r>
    </w:p>
    <w:p>
      <w:pPr>
        <w:pStyle w:val="Heading2"/>
      </w:pPr>
      <w:r>
        <w:t>PRIJEDLOG 14</w:t>
      </w:r>
    </w:p>
    <w:p>
      <w:r>
        <w:t>Poseban odjel u MUP-u za pitanja dijaspore.</w:t>
      </w:r>
    </w:p>
    <w:p>
      <w:pPr>
        <w:pStyle w:val="Heading2"/>
      </w:pPr>
      <w:r>
        <w:t>PRIJEDLOG 15</w:t>
      </w:r>
    </w:p>
    <w:p>
      <w:r>
        <w:t>Posebna evidencija državljana koji žive u dijaspori.</w:t>
      </w:r>
    </w:p>
    <w:p>
      <w:pPr>
        <w:pStyle w:val="Heading2"/>
      </w:pPr>
      <w:r>
        <w:t>PRIJEDLOG 16</w:t>
      </w:r>
    </w:p>
    <w:p>
      <w:r>
        <w:t>Zakonom garantovati da odjava prebivališta ne utiče na državljanstvo.</w:t>
      </w:r>
    </w:p>
    <w:p>
      <w:pPr>
        <w:pStyle w:val="Heading2"/>
      </w:pPr>
      <w:r>
        <w:t>PRIJEDLOG 17</w:t>
      </w:r>
    </w:p>
    <w:p>
      <w:r>
        <w:t>Zakonom garantovati zaštitu imovine.</w:t>
      </w:r>
    </w:p>
    <w:p>
      <w:pPr>
        <w:pStyle w:val="Heading2"/>
      </w:pPr>
      <w:r>
        <w:t>PRIJEDLOG 18</w:t>
      </w:r>
    </w:p>
    <w:p>
      <w:r>
        <w:t>Zakonom garantovati zaštitu nasljednih prava.</w:t>
      </w:r>
    </w:p>
    <w:p>
      <w:pPr>
        <w:pStyle w:val="Heading2"/>
      </w:pPr>
      <w:r>
        <w:t>PRIJEDLOG 19</w:t>
      </w:r>
    </w:p>
    <w:p>
      <w:r>
        <w:t>Zakonom garantovati zaštitu pristupa sudovima.</w:t>
      </w:r>
    </w:p>
    <w:p>
      <w:pPr>
        <w:pStyle w:val="Heading2"/>
      </w:pPr>
      <w:r>
        <w:t>PRIJEDLOG 20</w:t>
      </w:r>
    </w:p>
    <w:p>
      <w:r>
        <w:t>Obavezna javna rasprava sa dijasporom prije svake izmjene zakona.</w:t>
      </w:r>
    </w:p>
    <w:p>
      <w:pPr>
        <w:pStyle w:val="Heading2"/>
      </w:pPr>
      <w:r>
        <w:t>PRIJEDLOG 21</w:t>
      </w:r>
    </w:p>
    <w:p>
      <w:r>
        <w:t>Objaviti sve primjedbe građana.</w:t>
      </w:r>
    </w:p>
    <w:p>
      <w:pPr>
        <w:pStyle w:val="Heading2"/>
      </w:pPr>
      <w:r>
        <w:t>PRIJEDLOG 22</w:t>
      </w:r>
    </w:p>
    <w:p>
      <w:r>
        <w:t>Objaviti odgovore Ministarstva na svaku primjedbu.</w:t>
      </w:r>
    </w:p>
    <w:p>
      <w:pPr>
        <w:pStyle w:val="Heading2"/>
      </w:pPr>
      <w:r>
        <w:t>PRIJEDLOG 23</w:t>
      </w:r>
    </w:p>
    <w:p>
      <w:r>
        <w:t>Objaviti procjenu uticaja zakona na dijasporu.</w:t>
      </w:r>
    </w:p>
    <w:p>
      <w:pPr>
        <w:pStyle w:val="Heading2"/>
      </w:pPr>
      <w:r>
        <w:t>PRIJEDLOG 24</w:t>
      </w:r>
    </w:p>
    <w:p>
      <w:r>
        <w:t>Objaviti procjenu uticaja na birački spisak.</w:t>
      </w:r>
    </w:p>
    <w:p>
      <w:pPr>
        <w:pStyle w:val="Heading2"/>
      </w:pPr>
      <w:r>
        <w:t>PRIJEDLOG 25</w:t>
      </w:r>
    </w:p>
    <w:p>
      <w:r>
        <w:t>U radnu grupu uključiti predstavnike dijaspore.</w:t>
      </w:r>
    </w:p>
    <w:p>
      <w:pPr>
        <w:pStyle w:val="Heading2"/>
      </w:pPr>
      <w:r>
        <w:t>PRIJEDLOG 26</w:t>
      </w:r>
    </w:p>
    <w:p>
      <w:r>
        <w:t>U radnu grupu uključiti predstavnike pravne struke.</w:t>
      </w:r>
    </w:p>
    <w:p>
      <w:pPr>
        <w:pStyle w:val="Heading2"/>
      </w:pPr>
      <w:r>
        <w:t>PRIJEDLOG 27</w:t>
      </w:r>
    </w:p>
    <w:p>
      <w:r>
        <w:t>Uspostaviti stalno savjetodavno tijelo za pravna pitanja dijaspore.</w:t>
      </w:r>
    </w:p>
    <w:p>
      <w:pPr>
        <w:pStyle w:val="Heading2"/>
      </w:pPr>
      <w:r>
        <w:t>PRIJEDLOG 28</w:t>
      </w:r>
    </w:p>
    <w:p>
      <w:r>
        <w:t>Jednom godišnje objaviti izvještaj o primjeni zakona.</w:t>
      </w:r>
    </w:p>
    <w:p>
      <w:pPr>
        <w:pStyle w:val="Heading2"/>
      </w:pPr>
      <w:r>
        <w:t>PRIJEDLOG 29</w:t>
      </w:r>
    </w:p>
    <w:p>
      <w:r>
        <w:t>Prije svake izmjene zakona sprovesti javne konsultacije u državama sa brojnom dijasporom.</w:t>
      </w:r>
    </w:p>
    <w:p>
      <w:pPr>
        <w:pStyle w:val="Heading2"/>
      </w:pPr>
      <w:r>
        <w:t>PRIJEDLOG 30</w:t>
      </w:r>
    </w:p>
    <w:p>
      <w:r>
        <w:t>U zakon unijeti odredbu da se nijedna odredba ne može tumačiti na način kojim se neopravdano ograničavaju prava državljana Crne Gore koji zakonito žive ili borave u inostranstvu.</w:t>
      </w:r>
    </w:p>
    <w:p>
      <w:pPr>
        <w:pStyle w:val="Heading2"/>
      </w:pPr>
      <w:r>
        <w:t>ZAKLJUČAK</w:t>
      </w:r>
    </w:p>
    <w:p>
      <w:r>
        <w:t>Ovih trideset prijedloga predstavljaju radnu osnovu za izradu amandmana i stručne pravne analize. Svaki prijedlog biće naknadno detaljno obrazložen i usklađen sa zvaničnim nacrtom zakona kada bude dostupan.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