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br w:type="page"/>
      </w:r>
    </w:p>
    <w:p>
      <w:r>
        <w:br w:type="page"/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>
      <w:pPr>
        <w:pStyle w:val="Title"/>
        <w:jc w:val="center"/>
      </w:pPr>
      <w:r>
        <w:t>D-002 MASTER FINAL – DIO I</w:t>
      </w:r>
    </w:p>
    <w:p>
      <w:pPr>
        <w:jc w:val="center"/>
      </w:pPr>
      <w:r>
        <w:rPr>
          <w:b/>
        </w:rPr>
        <w:t>NEZAVISNA STRUČNO-PRAVNA EKSPERTIZA</w:t>
        <w:br/>
      </w:r>
      <w:r>
        <w:t>o Nacrtu zakona o izmjenama i dopunama Zakona o registrima prebivališta i boravišta</w:t>
        <w:br/>
        <w:br/>
      </w:r>
      <w:r>
        <w:rPr>
          <w:b/>
        </w:rPr>
        <w:t>Autor:</w:t>
        <w:br/>
      </w:r>
      <w:r>
        <w:t>Ismet Rastoder</w:t>
        <w:br/>
      </w:r>
      <w:r>
        <w:t>Diplomirani pravnik</w:t>
        <w:br/>
      </w:r>
      <w:r>
        <w:t>Pravni fakultet Univerziteta u Sarajevu</w:t>
        <w:br/>
      </w:r>
      <w:r>
        <w:t>New York, Sjedinjene Američke Države</w:t>
        <w:br/>
      </w:r>
      <w:r>
        <w:t>Jul 2026.</w:t>
      </w:r>
    </w:p>
    <w:p>
      <w:pPr>
        <w:pStyle w:val="Heading1"/>
      </w:pPr>
      <w:r>
        <w:t>IZJAVA AUTORA</w:t>
      </w:r>
    </w:p>
    <w:p>
      <w:r>
        <w:t>Ova nezavisna stručno-pravna ekspertiza izrađena je radi pružanja stručnog doprinosa javnoj raspravi o Nacrtu zakona o izmjenama i dopunama Zakona o registrima prebivališta i boravišta. Ekspertiza je zasnovana na važećem ustavnom i zakonskom okviru Crne Gore, međunarodnim standardima zaštite ljudskih prava, načelima vladavine prava i pravilima savremenog upravnog prava. Cilj dokumenta je unapređenje zakonskog teksta kroz stručnu analizu i prijedloge amandmana.</w:t>
      </w:r>
    </w:p>
    <w:p>
      <w:pPr>
        <w:pStyle w:val="Heading1"/>
      </w:pPr>
      <w:r>
        <w:t>PREDGOVOR</w:t>
      </w:r>
    </w:p>
    <w:p>
      <w:r>
        <w:t>Registar prebivališta i boravišta predstavlja jednu od najvažnijih službenih evidencija države. Njegova tačnost doprinosi efikasnom radu javne uprave, ali svako zakonsko rješenje mora biti usklađeno sa Ustavom Crne Gore, međunarodnim standardima i načelima pravne sigurnosti. Ova ekspertiza analizira predloženi nacrt zakona, njegove ciljeve, pravne posljedice i daje prijedloge za njegovo unapređenje.</w:t>
      </w:r>
    </w:p>
    <w:p>
      <w:pPr>
        <w:pStyle w:val="Heading1"/>
      </w:pPr>
      <w:r>
        <w:t>SADRŽAJ</w:t>
      </w:r>
    </w:p>
    <w:p>
      <w:pPr>
        <w:pStyle w:val="ListBullet"/>
      </w:pPr>
      <w:r>
        <w:t>POGLAVLJE I – Uvod</w:t>
      </w:r>
    </w:p>
    <w:p>
      <w:pPr>
        <w:pStyle w:val="ListBullet"/>
      </w:pPr>
      <w:r>
        <w:t>POGLAVLJE II – Metodologija i pravni osnov ekspertize</w:t>
      </w:r>
    </w:p>
    <w:p>
      <w:pPr>
        <w:pStyle w:val="ListBullet"/>
      </w:pPr>
      <w:r>
        <w:t>POGLAVLJE III – Ustavni i međunarodni pravni okvir</w:t>
      </w:r>
    </w:p>
    <w:p>
      <w:pPr>
        <w:pStyle w:val="ListBullet"/>
      </w:pPr>
      <w:r>
        <w:t>POGLAVLJE IV – Pravna analiza obrazloženja Nacrta zakona</w:t>
      </w:r>
    </w:p>
    <w:p>
      <w:pPr>
        <w:pStyle w:val="ListBullet"/>
      </w:pPr>
      <w:r>
        <w:t>POGLAVLJE V – Stručna analiza pojedinačnih odredbi</w:t>
      </w:r>
    </w:p>
    <w:p>
      <w:pPr>
        <w:pStyle w:val="ListBullet"/>
      </w:pPr>
      <w:r>
        <w:t>POGLAVLJE VI – Uticaj zakona na dijasporu</w:t>
      </w:r>
    </w:p>
    <w:p>
      <w:pPr>
        <w:pStyle w:val="ListBullet"/>
      </w:pPr>
      <w:r>
        <w:t>POGLAVLJE VII – Prijedlog amandmana</w:t>
      </w:r>
    </w:p>
    <w:p>
      <w:pPr>
        <w:pStyle w:val="ListBullet"/>
      </w:pPr>
      <w:r>
        <w:t>POGLAVLJE VIII – Završna razmatranja i konačni zaključak</w:t>
      </w:r>
    </w:p>
    <w:p>
      <w:pPr>
        <w:pStyle w:val="ListBullet"/>
      </w:pPr>
      <w:r>
        <w:t>Korišćeni pravni izvori</w:t>
      </w:r>
    </w:p>
    <w:p>
      <w:pPr>
        <w:pStyle w:val="ListBullet"/>
      </w:pPr>
      <w:r>
        <w:t>Prilozi</w:t>
      </w:r>
    </w:p>
    <w:p>
      <w:r>
        <w:br w:type="page"/>
      </w:r>
    </w:p>
    <w:p>
      <w:pPr>
        <w:pStyle w:val="Heading1"/>
      </w:pPr>
      <w:r>
        <w:t>POGLAVLJE I</w:t>
      </w:r>
    </w:p>
    <w:p>
      <w:pPr>
        <w:pStyle w:val="Heading2"/>
      </w:pPr>
      <w:r>
        <w:t>UVOD</w:t>
      </w:r>
    </w:p>
    <w:p>
      <w:r>
        <w:t>Savremena demokratska država zasniva funkcionisanje svojih institucija na tačnim, pouzdanim i ažurnim javnim evidencijama. Registar prebivališta i boravišta predstavlja jednu od najvažnijih službenih evidencija, jer služi kao osnova za ostvarivanje brojnih prava i obaveza građana.</w:t>
        <w:br/>
        <w:br/>
        <w:t>Potreba za unapređenjem sistema registracije prebivališta predstavlja legitiman cilj zakonodavca. Istovremeno, svaka izmjena propisa mora biti usklađena sa Ustavom Crne Gore, međunarodnim obavezama države i osnovnim načelima upravnog prava.</w:t>
        <w:br/>
        <w:br/>
        <w:t>Predmet ove ekspertize nije osporavanje ciljeva zakonodavca, već stručna ocjena da li su predložena rješenja dovoljno precizna, proporcionalna i pogodna za ostvarivanje njihove svrhe. Na osnovu sprovedene analize dati su prijedlozi amandmana radi jačanja pravne sigurnosti i efikasnije primjene zakona.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>
      <w:pPr>
        <w:pStyle w:val="Title"/>
        <w:jc w:val="center"/>
      </w:pPr>
      <w:r>
        <w:t>D-002 MASTER FINAL – DIO II</w:t>
      </w:r>
    </w:p>
    <w:p>
      <w:pPr>
        <w:pStyle w:val="Heading1"/>
      </w:pPr>
      <w:r>
        <w:t>POGLAVLJE II</w:t>
      </w:r>
    </w:p>
    <w:p>
      <w:pPr>
        <w:pStyle w:val="Heading2"/>
      </w:pPr>
      <w:r>
        <w:t>METODOLOGIJA I PRAVNI OSNOV EKSPERTIZE</w:t>
      </w:r>
    </w:p>
    <w:p>
      <w:pPr>
        <w:pStyle w:val="Heading2"/>
      </w:pPr>
      <w:r>
        <w:t>2.1. Metodološki pristup</w:t>
      </w:r>
    </w:p>
    <w:p>
      <w:r>
        <w:t>Ova stručno-pravna ekspertiza izrađena je primjenom opšteprihvaćenih metoda pravne nauke radi objektivne analize Nacrta zakona o izmjenama i dopunama Zakona o registrima prebivališta i boravišta. Analiza je usmjerena na usklađenost nacrta sa Ustavom Crne Gore, međunarodnim standardima i osnovnim načelima upravnog prava.</w:t>
      </w:r>
    </w:p>
    <w:p>
      <w:pPr>
        <w:pStyle w:val="Heading2"/>
      </w:pPr>
      <w:r>
        <w:t>2.2. Primijenjene metode</w:t>
      </w:r>
    </w:p>
    <w:p>
      <w:r>
        <w:t>Primijenjene su normativna, ustavnopravna, uporednopravna i analitička metoda radi ocjene sadržaja zakonskih odredbi, njihovih ciljeva, pravnih posljedica i mogućnosti unapređenja.</w:t>
      </w:r>
    </w:p>
    <w:p>
      <w:pPr>
        <w:pStyle w:val="Heading2"/>
      </w:pPr>
      <w:r>
        <w:t>2.3. Predmet analize</w:t>
      </w:r>
    </w:p>
    <w:p>
      <w:r>
        <w:t>Predmet ekspertize obuhvata analizu pojedinačnih zakonskih odredbi, procjenu njihove usklađenosti sa Ustavom i međunarodnim standardima, uticaj na građane i dijasporu, kao i izradu prijedloga amandmana.</w:t>
      </w:r>
    </w:p>
    <w:p>
      <w:pPr>
        <w:pStyle w:val="Heading2"/>
      </w:pPr>
      <w:r>
        <w:t>2.4. Ciljevi ekspertize</w:t>
      </w:r>
    </w:p>
    <w:p>
      <w:r>
        <w:t>Cilj dokumenta je doprinos javnoj raspravi, unapređenje kvaliteta zakonskog teksta, jačanje pravne sigurnosti, transparentnosti upravnog postupka i zaštite procesnih prava građana.</w:t>
      </w:r>
    </w:p>
    <w:p>
      <w:pPr>
        <w:pStyle w:val="Heading2"/>
      </w:pPr>
      <w:r>
        <w:t>2.5. Pravni osnov</w:t>
      </w:r>
    </w:p>
    <w:p>
      <w:r>
        <w:t>Pravni osnov čine Ustav Crne Gore, Nacrt zakona, Zakon o registrima prebivališta i boravišta, Zakon o upravnom postupku, Zakon o zaštiti podataka o ličnosti, Evropska konvencija za zaštitu ljudskih prava i relevantni međunarodni standardi.</w:t>
      </w:r>
    </w:p>
    <w:p>
      <w:pPr>
        <w:pStyle w:val="Heading2"/>
      </w:pPr>
      <w:r>
        <w:t>2.6. Metod ocjene zakonskih odredbi</w:t>
      </w:r>
    </w:p>
    <w:p>
      <w:r>
        <w:t>Svaka odredba analizirana je prema jedinstvenoj metodologiji: sadržaj, cilj zakonodavca, pravna analiza, moguće posljedice, prijedlog amandmana i obrazloženje.</w:t>
      </w:r>
    </w:p>
    <w:p>
      <w:pPr>
        <w:pStyle w:val="Heading2"/>
      </w:pPr>
      <w:r>
        <w:t>2.7. Zaključak</w:t>
      </w:r>
    </w:p>
    <w:p>
      <w:r>
        <w:t>Primijenjena metodologija omogućava objektivnu i sistematičnu pravnu analizu predloženih zakonskih rješenja i predstavlja osnov za zaključke sadržane u ovoj ekspertizi.</w:t>
      </w:r>
    </w:p>
    <w:p>
      <w:r>
        <w:br w:type="page"/>
      </w:r>
    </w:p>
    <w:p>
      <w:pPr>
        <w:pStyle w:val="Heading1"/>
      </w:pPr>
      <w:r>
        <w:t>POGLAVLJE III</w:t>
      </w:r>
    </w:p>
    <w:p>
      <w:pPr>
        <w:pStyle w:val="Heading2"/>
      </w:pPr>
      <w:r>
        <w:t>USTAVNI I MEĐUNARODNI PRAVNI OKVIR</w:t>
      </w:r>
    </w:p>
    <w:p>
      <w:pPr>
        <w:pStyle w:val="Heading2"/>
      </w:pPr>
      <w:r>
        <w:t>3.1. Ustav Crne Gore</w:t>
      </w:r>
    </w:p>
    <w:p>
      <w:r>
        <w:t>Ustav predstavlja najviši pravni akt države i osnov za ocjenu usklađenosti svih zakonskih rješenja. Posebno su analizirana načela vladavine prava, jednakosti, zakonitosti i zaštite ljudskih prava.</w:t>
      </w:r>
    </w:p>
    <w:p>
      <w:pPr>
        <w:pStyle w:val="Heading2"/>
      </w:pPr>
      <w:r>
        <w:t>3.2. Međunarodni standardi</w:t>
      </w:r>
    </w:p>
    <w:p>
      <w:r>
        <w:t>Analizirani su Evropska konvencija za zaštitu ljudskih prava, Međunarodni pakt o građanskim i političkim pravima i relevantne preporuke ODIHR-a.</w:t>
      </w:r>
    </w:p>
    <w:p>
      <w:pPr>
        <w:pStyle w:val="Heading2"/>
      </w:pPr>
      <w:r>
        <w:t>3.3. Načela</w:t>
      </w:r>
    </w:p>
    <w:p>
      <w:r>
        <w:t>Posebna pažnja posvećena je načelima zakonitosti, proporcionalnosti, pravne izvjesnosti, jednakosti građana i zaštiti procesnih prava.</w:t>
      </w:r>
    </w:p>
    <w:p>
      <w:pPr>
        <w:pStyle w:val="Heading2"/>
      </w:pPr>
      <w:r>
        <w:t>3.4. Zaključak</w:t>
      </w:r>
    </w:p>
    <w:p>
      <w:r>
        <w:t>Ustavni i međunarodni okvir potvrđuje pravo države da uređuje registre prebivališta, uz obavezu poštovanja ustavnih prava i međunarodnih standarda.</w:t>
      </w:r>
    </w:p>
    <w:p>
      <w:r>
        <w:br w:type="page"/>
      </w:r>
    </w:p>
    <w:p>
      <w:pPr>
        <w:pStyle w:val="Heading1"/>
      </w:pPr>
      <w:r>
        <w:t>POGLAVLJE IV</w:t>
      </w:r>
    </w:p>
    <w:p>
      <w:pPr>
        <w:pStyle w:val="Heading2"/>
      </w:pPr>
      <w:r>
        <w:t>PRAVNA ANALIZA OBRAZLOŽENJA NACRTA ZAKONA</w:t>
      </w:r>
    </w:p>
    <w:p>
      <w:pPr>
        <w:pStyle w:val="Heading2"/>
      </w:pPr>
      <w:r>
        <w:t>4.1. Uvod</w:t>
      </w:r>
    </w:p>
    <w:p>
      <w:r>
        <w:t>Obrazloženje nacrta pojašnjava razloge za izmjene zakona i predstavlja osnov za razumijevanje ciljeva zakonodavca.</w:t>
      </w:r>
    </w:p>
    <w:p>
      <w:pPr>
        <w:pStyle w:val="Heading2"/>
      </w:pPr>
      <w:r>
        <w:t>4.2. Ciljevi predlagača</w:t>
      </w:r>
    </w:p>
    <w:p>
      <w:r>
        <w:t>Predlagač navodi unapređenje registara, biračkog spiska, sprovođenje preporuka ODIHR-a i efikasniji rad Ministarstva unutrašnjih poslova.</w:t>
      </w:r>
    </w:p>
    <w:p>
      <w:pPr>
        <w:pStyle w:val="Heading2"/>
      </w:pPr>
      <w:r>
        <w:t>4.3. Pravna ocjena</w:t>
      </w:r>
    </w:p>
    <w:p>
      <w:r>
        <w:t>Legitiman cilj ne opravdava automatski svaku mjeru. Potrebno je ocijeniti proporcionalnost, zakonitost i zaštitu procesnih prava.</w:t>
      </w:r>
    </w:p>
    <w:p>
      <w:pPr>
        <w:pStyle w:val="Heading2"/>
      </w:pPr>
      <w:r>
        <w:t>4.4. Položaj dijaspore</w:t>
      </w:r>
    </w:p>
    <w:p>
      <w:r>
        <w:t>Posebno treba analizirati uticaj predloženih rješenja na državljane Crne Gore koji žive ili rade u inostranstvu.</w:t>
      </w:r>
    </w:p>
    <w:p>
      <w:pPr>
        <w:pStyle w:val="Heading2"/>
      </w:pPr>
      <w:r>
        <w:t>4.5. Zaključak</w:t>
      </w:r>
    </w:p>
    <w:p>
      <w:r>
        <w:t>Slijedi detaljna analiza pojedinačnih odredbi nacrta i prijedlozi amandmana radi unapređenja zakonskog teksta.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>
      <w:pPr>
        <w:pStyle w:val="Title"/>
        <w:jc w:val="center"/>
      </w:pPr>
      <w:r>
        <w:t>D-002 MASTER FINAL – DIO III</w:t>
      </w:r>
    </w:p>
    <w:p>
      <w:pPr>
        <w:pStyle w:val="Heading1"/>
      </w:pPr>
      <w:r>
        <w:t>POGLAVLJE V</w:t>
      </w:r>
    </w:p>
    <w:p>
      <w:pPr>
        <w:pStyle w:val="Heading2"/>
      </w:pPr>
      <w:r>
        <w:t>STRUČNA ANALIZA POJEDINAČNIH ODREDBI NACRTA ZAKONA</w:t>
      </w:r>
    </w:p>
    <w:p>
      <w:pPr>
        <w:pStyle w:val="Heading2"/>
      </w:pPr>
      <w:r>
        <w:t>5.1. Uvod</w:t>
      </w:r>
    </w:p>
    <w:p>
      <w:r>
        <w:t>U ovom poglavlju vrši se detaljna pravna analiza pojedinačnih odredbi Nacrta zakona. Cilj nije osporavanje prava države da uređuje pitanja prebivališta i boravišta, već ocjena da li su predložena rješenja jasna, precizna i usklađena sa Ustavom, međunarodnim standardima i pravilima upravnog prava.</w:t>
      </w:r>
    </w:p>
    <w:p>
      <w:pPr>
        <w:pStyle w:val="Heading2"/>
      </w:pPr>
      <w:r>
        <w:t>5.2. Analiza člana 1</w:t>
      </w:r>
    </w:p>
    <w:p>
      <w:r>
        <w:t>Predložene izmjene registra prebivališta imaju legitiman cilj unapređenja službenih evidencija. Potrebno je preciznije urediti svrhu razmjene podataka, obim podataka koji se razmjenjuju, ovlašćene organe i zaštitu podataka o ličnosti.</w:t>
        <w:br/>
        <w:br/>
        <w:t>Predloženi amandman:</w:t>
        <w:br/>
        <w:t>„Razmjena podataka između registara može se vršiti isključivo u svrhe određene zakonom, uz puno poštovanje propisa o zaštiti podataka o ličnosti.“</w:t>
      </w:r>
    </w:p>
    <w:p>
      <w:pPr>
        <w:pStyle w:val="Heading2"/>
      </w:pPr>
      <w:r>
        <w:t>5.3. Prijava i odjava prebivališta</w:t>
      </w:r>
    </w:p>
    <w:p>
      <w:r>
        <w:t>Potrebno je jasno urediti dokazni postupak, prava građana, rokove i pravna sredstva. Privremeni ili dugotrajni boravak u inostranstvu sam po sebi ne može biti dovoljan razlog za zaključak da prebivalište nije stvarno.</w:t>
        <w:br/>
        <w:br/>
        <w:t>Predloženi amandman:</w:t>
        <w:br/>
        <w:t>„Prije donošenja odluke o odjavi prebivališta po službenoj dužnosti, nadležni organ dužan je omogućiti građaninu da se izjasni i dostavi dokaze u skladu sa Zakonom o upravnom postupku.“</w:t>
      </w:r>
    </w:p>
    <w:p>
      <w:pPr>
        <w:pStyle w:val="Heading2"/>
      </w:pPr>
      <w:r>
        <w:t>5.4. Terenske provjere prebivališta</w:t>
      </w:r>
    </w:p>
    <w:p>
      <w:r>
        <w:t>Terenske provjere treba detaljno normirati. Potrebno je propisati ko ih sprovodi, sadržaj zapisnika i pravo građanina da se izjasni prije donošenja konačne odluke.</w:t>
        <w:br/>
        <w:br/>
        <w:t>Predloženi amandman:</w:t>
        <w:br/>
        <w:t>„O svakoj terenskoj provjeri sačinjava se zapisnik koji se dostavlja licu na koje se postupak odnosi.“</w:t>
      </w:r>
    </w:p>
    <w:p>
      <w:pPr>
        <w:pStyle w:val="Heading2"/>
      </w:pPr>
      <w:r>
        <w:t>5.5. Prelazne odredbe</w:t>
      </w:r>
    </w:p>
    <w:p>
      <w:r>
        <w:t>Prelazne odredbe treba da obezbijede pravnu sigurnost kroz jasne rokove, obaveze građana i pravovremeno informisanje javnosti.</w:t>
        <w:br/>
        <w:br/>
        <w:t>Predloženi amandman:</w:t>
        <w:br/>
        <w:t>„Ministarstvo unutrašnjih poslova dužno je da prije početka primjene zakona sprovede javnu informativnu kampanju o pravima, obavezama i rokovima koji proizlaze iz ovog zakona.“</w:t>
      </w:r>
    </w:p>
    <w:p>
      <w:pPr>
        <w:pStyle w:val="Heading2"/>
      </w:pPr>
      <w:r>
        <w:t>5.6. Opšta stručna ocjena</w:t>
      </w:r>
    </w:p>
    <w:p>
      <w:r>
        <w:t>Analiza pokazuje da nacrt zakona ima legitiman cilj, ali pojedine odredbe zahtijevaju dodatno normativno preciziranje radi jačanja pravne sigurnosti, zaštite procesnih prava građana i ujednačene primjene zakona.</w:t>
      </w:r>
    </w:p>
    <w:p>
      <w:pPr>
        <w:pStyle w:val="Heading2"/>
      </w:pPr>
      <w:r>
        <w:t>5.7. Zaključak Poglavlja V</w:t>
      </w:r>
    </w:p>
    <w:p>
      <w:r>
        <w:t>Predloženi amandmani predstavljaju konstruktivan doprinos javnoj raspravi i mogu doprinijeti donošenju kvalitetnijeg zakonskog rješenja uz puno poštovanje ustavnih načela i međunarodnih standarda.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>
      <w:pPr>
        <w:pStyle w:val="Title"/>
        <w:jc w:val="center"/>
      </w:pPr>
      <w:r>
        <w:t>D-002 MASTER FINAL – DIO IV</w:t>
      </w:r>
    </w:p>
    <w:p>
      <w:pPr>
        <w:pStyle w:val="Heading1"/>
      </w:pPr>
      <w:r>
        <w:t>POGLAVLJE VI</w:t>
      </w:r>
    </w:p>
    <w:p>
      <w:pPr>
        <w:pStyle w:val="Heading2"/>
      </w:pPr>
      <w:r>
        <w:t>UTICAJ PREDLOŽENOG ZAKONA NA DIJASPORU CRNE GORE</w:t>
      </w:r>
    </w:p>
    <w:p>
      <w:pPr>
        <w:pStyle w:val="Heading2"/>
      </w:pPr>
      <w:r>
        <w:t>6.1. Uvod</w:t>
      </w:r>
    </w:p>
    <w:p>
      <w:r>
        <w:t>Državljani Crne Gore koji žive i rade u inostranstvu predstavljaju značajan dio ukupnog državnog korpusa. Svaka izmjena propisa o prebivalištu može neposredno uticati na njihov pravni položaj.</w:t>
      </w:r>
    </w:p>
    <w:p>
      <w:pPr>
        <w:pStyle w:val="Heading2"/>
      </w:pPr>
      <w:r>
        <w:t>6.2. Objektivne okolnosti života u inostranstvu</w:t>
      </w:r>
    </w:p>
    <w:p>
      <w:r>
        <w:t>Boravak u inostranstvu zbog zaposlenja, školovanja, liječenja ili drugih opravdanih razloga ne može sam po sebi predstavljati dokaz da je prestala stvarna veza građanina sa prijavljenim prebivalištem.</w:t>
      </w:r>
    </w:p>
    <w:p>
      <w:pPr>
        <w:pStyle w:val="Heading2"/>
      </w:pPr>
      <w:r>
        <w:t>6.3. Individualna procjena</w:t>
      </w:r>
    </w:p>
    <w:p>
      <w:r>
        <w:t>Potrebno je cijeniti vlasništvo ili korišćenje nekretnine, porodične veze, učestalost dolazaka, trajanje boravka u inostranstvu i druge relevantne činjenice.</w:t>
      </w:r>
    </w:p>
    <w:p>
      <w:pPr>
        <w:pStyle w:val="Heading2"/>
      </w:pPr>
      <w:r>
        <w:t>6.4. Komunikacija sa dijasporom</w:t>
      </w:r>
    </w:p>
    <w:p>
      <w:r>
        <w:t>Preporučuje se elektronska komunikacija, korišćenje diplomatsko-konzularnih predstavništava i javno objavljivanje uputstava za građane u inostranstvu.</w:t>
      </w:r>
    </w:p>
    <w:p>
      <w:pPr>
        <w:pStyle w:val="Heading2"/>
      </w:pPr>
      <w:r>
        <w:t>6.5. Zaključak</w:t>
      </w:r>
    </w:p>
    <w:p>
      <w:r>
        <w:t>Primjena zakona treba da ostvari legitimne ciljeve države uz puno uvažavanje specifičnih okolnosti državljana koji žive van Crne Gore.</w:t>
      </w:r>
    </w:p>
    <w:p>
      <w:r>
        <w:br w:type="page"/>
      </w:r>
    </w:p>
    <w:p>
      <w:pPr>
        <w:pStyle w:val="Heading1"/>
      </w:pPr>
      <w:r>
        <w:t>POGLAVLJE VII</w:t>
      </w:r>
    </w:p>
    <w:p>
      <w:pPr>
        <w:pStyle w:val="Heading2"/>
      </w:pPr>
      <w:r>
        <w:t>PRIJEDLOG AMANDMANA</w:t>
      </w:r>
    </w:p>
    <w:p>
      <w:r>
        <w:t>Na osnovu sprovedene analize predlažu se sljedeći amandmani:</w:t>
      </w:r>
    </w:p>
    <w:p>
      <w:pPr>
        <w:pStyle w:val="Heading2"/>
      </w:pPr>
      <w:r>
        <w:t>AMANDMAN 1</w:t>
      </w:r>
    </w:p>
    <w:p>
      <w:r>
        <w:t>Prije odjave prebivališta omogućiti građaninu da se izjasni i dostavi dokaze.</w:t>
      </w:r>
    </w:p>
    <w:p>
      <w:pPr>
        <w:pStyle w:val="Heading2"/>
      </w:pPr>
      <w:r>
        <w:t>AMANDMAN 2</w:t>
      </w:r>
    </w:p>
    <w:p>
      <w:r>
        <w:t>O svakoj terenskoj provjeri sačiniti zapisnik i dostaviti ga građaninu.</w:t>
      </w:r>
    </w:p>
    <w:p>
      <w:pPr>
        <w:pStyle w:val="Heading2"/>
      </w:pPr>
      <w:r>
        <w:t>AMANDMAN 3</w:t>
      </w:r>
    </w:p>
    <w:p>
      <w:r>
        <w:t>Prilikom odlučivanja cijeniti sve relevantne okolnosti, uključujući opravdani boravak u inostranstvu.</w:t>
      </w:r>
    </w:p>
    <w:p>
      <w:pPr>
        <w:pStyle w:val="Heading2"/>
      </w:pPr>
      <w:r>
        <w:t>AMANDMAN 4</w:t>
      </w:r>
    </w:p>
    <w:p>
      <w:r>
        <w:t>Omogućiti elektronsku komunikaciju i saradnju putem diplomatsko-konzularnih predstavništava kada je moguće.</w:t>
      </w:r>
    </w:p>
    <w:p>
      <w:pPr>
        <w:pStyle w:val="Heading2"/>
      </w:pPr>
      <w:r>
        <w:t>AMANDMAN 5</w:t>
      </w:r>
    </w:p>
    <w:p>
      <w:r>
        <w:t>Sprovesti javnu informativnu kampanju prije početka primjene zakona.</w:t>
      </w:r>
    </w:p>
    <w:p>
      <w:pPr>
        <w:pStyle w:val="Heading2"/>
      </w:pPr>
      <w:r>
        <w:t>Zaključak Poglavlja VII</w:t>
      </w:r>
    </w:p>
    <w:p>
      <w:r>
        <w:t>Predloženi amandmani imaju za cilj unapređenje pravne sigurnosti, transparentnosti upravnih postupaka i zaštite procesnih prava građana.</w:t>
      </w:r>
    </w:p>
    <w:p>
      <w:r>
        <w:br w:type="page"/>
      </w:r>
    </w:p>
    <w:p>
      <w:pPr>
        <w:pStyle w:val="Heading1"/>
      </w:pPr>
      <w:r>
        <w:t>POGLAVLJE VIII</w:t>
      </w:r>
    </w:p>
    <w:p>
      <w:pPr>
        <w:pStyle w:val="Heading2"/>
      </w:pPr>
      <w:r>
        <w:t>ZAVRŠNA RAZMATRANJA I KONAČNI ZAKLJUČAK</w:t>
      </w:r>
    </w:p>
    <w:p>
      <w:pPr>
        <w:pStyle w:val="Heading2"/>
      </w:pPr>
      <w:r>
        <w:t>8.1. Završna razmatranja</w:t>
      </w:r>
    </w:p>
    <w:p>
      <w:r>
        <w:t>Nacrt zakona predstavlja ozbiljan pokušaj unapređenja sistema registracije prebivališta i boravišta, ali pojedine odredbe zahtijevaju dodatno normativno preciziranje radi pune usklađenosti sa Ustavom Crne Gore, međunarodnim standardima i načelima dobre uprave.</w:t>
      </w:r>
    </w:p>
    <w:p>
      <w:pPr>
        <w:pStyle w:val="Heading2"/>
      </w:pPr>
      <w:r>
        <w:t>8.2. Konačni zaključak</w:t>
      </w:r>
    </w:p>
    <w:p>
      <w:r>
        <w:t>Ekspertiza potvrđuje legitimno pravo države da uređuje registre prebivališta i boravišta, uz obavezu poštovanja načela zakonitosti, proporcionalnosti, pravne izvjesnosti i zaštite procesnih prava građana. Predloženi amandmani predstavljaju konstruktivan doprinos unapređenju zakonskog teksta.</w:t>
      </w:r>
    </w:p>
    <w:p>
      <w:pPr>
        <w:pStyle w:val="Heading1"/>
      </w:pPr>
      <w:r>
        <w:t>KORIŠĆENI PRAVNI IZVORI</w:t>
      </w:r>
    </w:p>
    <w:p>
      <w:pPr>
        <w:pStyle w:val="ListBullet"/>
      </w:pPr>
      <w:r>
        <w:t>Ustav Crne Gore</w:t>
      </w:r>
    </w:p>
    <w:p>
      <w:pPr>
        <w:pStyle w:val="ListBullet"/>
      </w:pPr>
      <w:r>
        <w:t>Nacrt zakona o izmjenama i dopunama Zakona o registrima prebivališta i boravišta</w:t>
      </w:r>
    </w:p>
    <w:p>
      <w:pPr>
        <w:pStyle w:val="ListBullet"/>
      </w:pPr>
      <w:r>
        <w:t>Zakon o registrima prebivališta i boravišta</w:t>
      </w:r>
    </w:p>
    <w:p>
      <w:pPr>
        <w:pStyle w:val="ListBullet"/>
      </w:pPr>
      <w:r>
        <w:t>Zakon o upravnom postupku</w:t>
      </w:r>
    </w:p>
    <w:p>
      <w:pPr>
        <w:pStyle w:val="ListBullet"/>
      </w:pPr>
      <w:r>
        <w:t>Zakon o zaštiti podataka o ličnosti</w:t>
      </w:r>
    </w:p>
    <w:p>
      <w:pPr>
        <w:pStyle w:val="ListBullet"/>
      </w:pPr>
      <w:r>
        <w:t>Zakon o saradnji Crne Gore sa dijasporom – iseljenicima</w:t>
      </w:r>
    </w:p>
    <w:p>
      <w:pPr>
        <w:pStyle w:val="ListBullet"/>
      </w:pPr>
      <w:r>
        <w:t>Evropska konvencija za zaštitu ljudskih prava i osnovnih sloboda</w:t>
      </w:r>
    </w:p>
    <w:p>
      <w:pPr>
        <w:pStyle w:val="ListBullet"/>
      </w:pPr>
      <w:r>
        <w:t>Međunarodni pakt o građanskim i političkim pravima</w:t>
      </w:r>
    </w:p>
    <w:p>
      <w:pPr>
        <w:pStyle w:val="ListBullet"/>
      </w:pPr>
      <w:r>
        <w:t>Preporuke ODIHR-a</w:t>
      </w:r>
    </w:p>
    <w:p>
      <w:pPr>
        <w:pStyle w:val="ListBullet"/>
      </w:pPr>
      <w:r>
        <w:t>Relevantna stručna pravna literatura</w:t>
      </w:r>
    </w:p>
    <w:p>
      <w:pPr>
        <w:pStyle w:val="Heading1"/>
      </w:pPr>
      <w:r>
        <w:t>ZAVRŠNA NAPOMENA</w:t>
      </w:r>
    </w:p>
    <w:p>
      <w:r>
        <w:t>Ova ekspertiza predstavlja nezavisno stručno-pravno mišljenje autora izrađeno radi doprinosa javnoj raspravi.</w:t>
      </w:r>
    </w:p>
    <w:p>
      <w:pPr>
        <w:pStyle w:val="Heading1"/>
      </w:pPr>
      <w:r>
        <w:t>AUTOR</w:t>
      </w:r>
    </w:p>
    <w:p>
      <w:r>
        <w:t>Ismet Rastoder</w:t>
        <w:br/>
        <w:t>Diplomirani pravnik</w:t>
        <w:br/>
        <w:t>Pravni fakultet Univerziteta u Sarajevu</w:t>
        <w:br/>
        <w:t>New York, Sjedinjene Američke Države</w:t>
        <w:br/>
        <w:t>Jul 2026.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